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280"/>
        <w:ind w:left="720" w:hanging="72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УТВЕРЖДЕНО</w:t>
      </w:r>
    </w:p>
    <w:p>
      <w:pPr>
        <w:pStyle w:val="Normal.0"/>
        <w:spacing w:after="280"/>
        <w:ind w:left="720" w:hanging="72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приказом директора Фонда</w:t>
      </w:r>
    </w:p>
    <w:p>
      <w:pPr>
        <w:pStyle w:val="Normal.0"/>
        <w:spacing w:after="280"/>
        <w:ind w:left="720" w:hanging="72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03/15-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од от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02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марта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года</w:t>
      </w:r>
    </w:p>
    <w:p>
      <w:pPr>
        <w:pStyle w:val="Normal.0"/>
        <w:spacing w:after="280"/>
        <w:ind w:left="720" w:hanging="72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280"/>
        <w:ind w:left="720" w:hanging="72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Положение о проведении краевого конкурса публичных годовых отчётов некоммерческих организаций Пермского края в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году</w:t>
      </w:r>
    </w:p>
    <w:p>
      <w:pPr>
        <w:pStyle w:val="Normal.0"/>
        <w:spacing w:before="280" w:after="280"/>
        <w:ind w:left="720" w:hanging="72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Общие положения</w:t>
      </w:r>
    </w:p>
    <w:p>
      <w:pPr>
        <w:pStyle w:val="Normal.0"/>
        <w:spacing w:before="24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Настоящее положение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далее — Положение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определяет порядок проведения конкурса публичных годовых отчётов некоммерческих организаций Пермского края за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далее — Конкурс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конкурсный отбор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отбор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включая условия участия и критерии оценки представленных отчётов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40" w:line="276" w:lineRule="auto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Организаторы Конкурса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Администрация губернатора Пермского края 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Фонд грантов губернатора Пермского края</w:t>
      </w:r>
    </w:p>
    <w:p>
      <w:pPr>
        <w:pStyle w:val="Normal.0"/>
        <w:spacing w:before="280" w:after="28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Информация о Конкурсе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включая объявление о проведении отбора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публикуется на следующих ресурсах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before="28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официальный сайт Организатора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грантыгубернатора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>59.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рф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группа «ВКонтакте»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«Фонд грантов губернатора Пермского края» </w:t>
      </w:r>
      <w:r>
        <w:rPr>
          <w:rFonts w:ascii="Times New Roman" w:hAnsi="Times New Roman"/>
          <w:sz w:val="28"/>
          <w:szCs w:val="28"/>
          <w:rtl w:val="0"/>
          <w:lang w:val="ru-RU"/>
        </w:rPr>
        <w:t>(https://vk.com/fondgrant59);</w:t>
      </w:r>
    </w:p>
    <w:p>
      <w:pPr>
        <w:pStyle w:val="Normal.0"/>
        <w:spacing w:after="28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телеграм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канал</w:t>
      </w:r>
      <w:r>
        <w:rPr>
          <w:rFonts w:ascii="Times New Roman" w:hAnsi="Times New Roman"/>
          <w:sz w:val="28"/>
          <w:szCs w:val="28"/>
          <w:rtl w:val="0"/>
          <w:lang w:val="ru-RU"/>
        </w:rPr>
        <w:t>: @sonko59.</w:t>
      </w:r>
    </w:p>
    <w:p>
      <w:pPr>
        <w:pStyle w:val="Normal.0"/>
        <w:spacing w:before="280" w:after="28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 и задачи Конкурса</w:t>
      </w:r>
    </w:p>
    <w:p>
      <w:pPr>
        <w:pStyle w:val="Normal.0"/>
        <w:spacing w:before="24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Цель Конкурса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повышение доверия к деятельности некоммерческих организаций Пермского края со стороны жителей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органов государственной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бизнеса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СМИ и благополучателей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40" w:line="276" w:lineRule="auto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Задачи Конкурса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before="28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оценка публичных годовых отчётов по утверждённым критериям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обмен опытом и внедрение лучших практик информационной открытости и прозрачности в деятельности  НКО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after="28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привлечение внимания общества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органов власти и СМИ к деятельности НКО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280"/>
        <w:ind w:left="720" w:hanging="72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before="280" w:after="280"/>
        <w:ind w:left="720" w:hanging="72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Номинация Конкурса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результатам Конкурса выявляются победители в нескольких номинациях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«Лучший публичный годовой отчет»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«Лучший годовой отчет молодой организации»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работает не более трех 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>);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«Лучший годовой отчет небольшой организации»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годовой оборот менее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тыс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рублей и не более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человек</w:t>
      </w:r>
      <w:r>
        <w:rPr>
          <w:rFonts w:ascii="Times New Roman" w:hAnsi="Times New Roman"/>
          <w:sz w:val="28"/>
          <w:szCs w:val="28"/>
          <w:rtl w:val="0"/>
          <w:lang w:val="ru-RU"/>
        </w:rPr>
        <w:t>);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«Лучшее оформление отчета»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«Лучший текст годового отчета»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«Лучшее представление оценки своей деятельности»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40"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Организаторы конкурса оставляют за собой право объявления дополнительных номинаций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40" w:after="24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80" w:after="280"/>
        <w:ind w:left="720" w:hanging="72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Участники конкурсного отбора</w:t>
      </w:r>
    </w:p>
    <w:p>
      <w:pPr>
        <w:pStyle w:val="Normal.0"/>
        <w:spacing w:line="235" w:lineRule="auto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конкурсе могут принять участие некоммерческие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line="235" w:lineRule="auto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зарегистрированы и работают на территории Пермского края не менее года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before="240" w:after="240" w:line="235" w:lineRule="auto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размещают годовой отчет в свободном доступе в сети Интернет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before="240" w:after="240" w:line="235" w:lineRule="auto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подали заявку в установленный срок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before="240" w:after="240" w:line="235" w:lineRule="auto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имеют собственные страницы в соцсетях или сайт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before="240" w:after="240" w:line="235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находятся в процессе реорганизации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кроме присоединения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ликвидации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банкротства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деятельность не приостановлена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before="240" w:after="240" w:line="235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включены в перечень организаций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причастных к экстремистской деятельности или терроризму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spacing w:before="240" w:after="240" w:line="235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являются иностранными агентами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согласно ФЗ «О контроле за деятельностью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находящихся под иностранным влиянием»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before="24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Конкурс не принимаются отчеты бизнес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ассоциаций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саморегулируемых некоммерческих организаций и фондов целевого капитала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как они имеют особое законодательное регулирование и требуют специальных критериев для оценки их публичных отчетов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4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Требования к публичному годовому отчёту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Публичный годовой отчёт — добровольный структурированный отчёт о деятельности за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включающий ключевые проекты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мероприятия и их результаты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40"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НКО несёт ответственность за подлинность представленных документов и сведений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40" w:line="276" w:lineRule="auto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Публичный годовой отчёт должен включать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before="28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название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миссию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цели и задачи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контактную информацию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телефон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адрес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email,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сайт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соцсети</w:t>
      </w:r>
      <w:r>
        <w:rPr>
          <w:rFonts w:ascii="Times New Roman" w:hAnsi="Times New Roman"/>
          <w:sz w:val="28"/>
          <w:szCs w:val="28"/>
          <w:rtl w:val="0"/>
          <w:lang w:val="ru-RU"/>
        </w:rPr>
        <w:t>);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должность руководителя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структуру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сведения о команде и партнёрах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итоги работы за отчётный период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целевая группа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источники финансирования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сроки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отзывы</w:t>
      </w:r>
      <w:r>
        <w:rPr>
          <w:rFonts w:ascii="Times New Roman" w:hAnsi="Times New Roman"/>
          <w:sz w:val="28"/>
          <w:szCs w:val="28"/>
          <w:rtl w:val="0"/>
          <w:lang w:val="ru-RU"/>
        </w:rPr>
        <w:t>);</w:t>
      </w:r>
    </w:p>
    <w:p>
      <w:pPr>
        <w:pStyle w:val="Normal.0"/>
        <w:spacing w:after="28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доходы и расходы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целевые поступления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доходы от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административные расходы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зарплаты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расходы на деятельность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before="280" w:after="28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Сроки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этапы и порядок проведения Конкурса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Конкурс проводится в заочной форме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награждение победителей может быть очным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Этапы Конкурса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before="28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подача заявок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с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марта по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первый этап конкурса — не позднее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.;</w:t>
      </w:r>
    </w:p>
    <w:p>
      <w:pPr>
        <w:pStyle w:val="Normal.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второй этап конкурса — не позднее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.;</w:t>
      </w:r>
    </w:p>
    <w:p>
      <w:pPr>
        <w:pStyle w:val="Normal.0"/>
        <w:spacing w:after="28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размещение списка участников и победителей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награждение — не позднее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июня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before="280" w:after="280"/>
        <w:ind w:left="720" w:hanging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Конкурсный отбор</w:t>
      </w:r>
    </w:p>
    <w:p>
      <w:pPr>
        <w:pStyle w:val="Normal.0"/>
        <w:spacing w:before="280" w:after="28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Заявка и публичный годовой отчет в электронном виде направляются на электронную почту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"mailto:fondgrant59@yandex.ru"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fondgrant59@yandex.ru</w:t>
      </w:r>
      <w:r>
        <w:rPr/>
        <w:fldChar w:fldCharType="end" w:fldLock="0"/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28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8.2.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Отбор проходит в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два этапа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.0"/>
        <w:spacing w:before="28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Первый этап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проверка соответствия требованиям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4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Положения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составление списка участников второго этапа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28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Второй этап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оценка отчётов экспертами по критериям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28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8.3.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Критерии конкурсного отбора</w:t>
      </w:r>
    </w:p>
    <w:p>
      <w:pPr>
        <w:pStyle w:val="Normal.0"/>
        <w:spacing w:before="28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Чёткость описания целей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формата проектов и результатов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Полнота информации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структурированность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удобство восприятия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Качество оформления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дизайн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инфографика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Наличие финансовой информации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источники доходов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расходы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Информация о мониторинге и оценке деятельности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количественные результаты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анализ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социальный эффект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28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Мнения сообщества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партнёров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целевых групп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отзывы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благодарственные письма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упоминания в интернете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before="280" w:after="28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9.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Результаты Конкурса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9.1.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Победители по номинациям определяются членами жюри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сформированным организаторами Конкурса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9.2.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Все участники конкурса награждаются Сертификатами участника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9.3.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Победители награждаются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дипломами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и ценными призами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9.4.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Итоговые результаты публикуются на ресурсах организаторов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28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10.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Контактная информация</w:t>
      </w:r>
    </w:p>
    <w:p>
      <w:pPr>
        <w:pStyle w:val="Normal.0"/>
        <w:spacing w:before="280" w:after="28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10.1.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Консультации по Конкурсу можно получить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before="28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 телефону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: +7(342)270-11-33</w:t>
      </w:r>
    </w:p>
    <w:p>
      <w:pPr>
        <w:pStyle w:val="Normal.0"/>
        <w:ind w:left="720" w:hanging="720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 электронной почте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: fondgrant59@yandex.ru</w:t>
      </w:r>
    </w:p>
    <w:p>
      <w:pPr>
        <w:pStyle w:val="Normal.0"/>
        <w:spacing w:after="280"/>
        <w:jc w:val="both"/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по адресу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Пермь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ул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Советская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, 1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, 3-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й этаж в период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01.03.2026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30.04.2026.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kern w:val="2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sz w:val="28"/>
          <w:szCs w:val="28"/>
          <w:rtl w:val="0"/>
          <w:lang w:val="ru-RU"/>
        </w:rPr>
        <w:t xml:space="preserve">Заявка на участие в краевом конкурсе публичных годовых отчётов некоммерческих организаций Пермского края </w:t>
      </w:r>
      <w:r>
        <w:rPr>
          <w:rStyle w:val="Нет"/>
          <w:rFonts w:ascii="Times New Roman" w:hAnsi="Times New Roman"/>
          <w:b w:val="1"/>
          <w:bCs w:val="1"/>
          <w:kern w:val="2"/>
          <w:sz w:val="28"/>
          <w:szCs w:val="28"/>
          <w:rtl w:val="0"/>
          <w:lang w:val="ru-RU"/>
        </w:rPr>
        <w:t xml:space="preserve">2026 </w:t>
      </w:r>
      <w:r>
        <w:rPr>
          <w:rStyle w:val="Нет"/>
          <w:rFonts w:ascii="Times New Roman" w:hAnsi="Times New Roman" w:hint="default"/>
          <w:b w:val="1"/>
          <w:bCs w:val="1"/>
          <w:kern w:val="2"/>
          <w:sz w:val="28"/>
          <w:szCs w:val="28"/>
          <w:rtl w:val="0"/>
          <w:lang w:val="ru-RU"/>
        </w:rPr>
        <w:t>года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kern w:val="2"/>
          <w:sz w:val="28"/>
          <w:szCs w:val="2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Полное наименование НКО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 __________________________________________________________________________________________________________________________________________________________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Сокращенное наименование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 _________________________________________________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 xml:space="preserve">ИНН 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____________________________________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 xml:space="preserve">Руководитель 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Ф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И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О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должность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номер телефона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>)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 _____________________________________________________________________________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 xml:space="preserve">Контактное лицо по вопросам участия в Конкурсе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/>
          <w:kern w:val="2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Ф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И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О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номер телефона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, 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электронная почта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) _____________________________________________________________________________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Подтверждаю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что организация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>:</w:t>
      </w:r>
      <w:r>
        <w:rPr>
          <w:rStyle w:val="Нет"/>
          <w:rFonts w:ascii="Times New Roman" w:cs="Times New Roman" w:hAnsi="Times New Roman" w:eastAsia="Times New Roman"/>
          <w:b w:val="1"/>
          <w:bCs w:val="1"/>
          <w:kern w:val="2"/>
        </w:rPr>
        <w:br w:type="textWrapping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•</w:t>
        <w:tab/>
        <w:t>не имеет учредителя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являющегося государственным органом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органом местного самоуправления или публично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правовым образованием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•</w:t>
        <w:tab/>
        <w:t>не находится в процессе реорганизации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ликвидации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•</w:t>
        <w:tab/>
        <w:t>в отношении организации не введена процедура банкротства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•</w:t>
        <w:tab/>
        <w:t>деятельность участника конкурса не приостановлена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•</w:t>
        <w:tab/>
        <w:t>не находится в перечне организаций и физических лиц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причастных к экстремистской деятельности или терроризму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•</w:t>
        <w:tab/>
        <w:t>не является иностранным агентом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.</w:t>
      </w:r>
    </w:p>
    <w:p>
      <w:pPr>
        <w:pStyle w:val="heading 2"/>
        <w:keepNext w:val="0"/>
        <w:keepLines w:val="0"/>
        <w:numPr>
          <w:ilvl w:val="0"/>
          <w:numId w:val="2"/>
        </w:numPr>
        <w:bidi w:val="0"/>
        <w:spacing w:before="0" w:after="0" w:line="276" w:lineRule="auto"/>
        <w:ind w:right="0"/>
        <w:jc w:val="left"/>
        <w:outlineLvl w:val="9"/>
        <w:rPr>
          <w:rFonts w:ascii="Times New Roman" w:hAnsi="Times New Roman" w:hint="default"/>
          <w:b w:val="0"/>
          <w:bCs w:val="0"/>
          <w:kern w:val="2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sz w:val="24"/>
          <w:szCs w:val="24"/>
          <w:rtl w:val="0"/>
          <w:lang w:val="ru-RU"/>
        </w:rPr>
        <w:t>ДА</w:t>
      </w:r>
      <w:r>
        <w:rPr>
          <w:rStyle w:val="Нет"/>
          <w:rFonts w:ascii="Times New Roman" w:cs="Times New Roman" w:hAnsi="Times New Roman" w:eastAsia="Times New Roman"/>
          <w:b w:val="0"/>
          <w:bCs w:val="0"/>
          <w:kern w:val="2"/>
          <w:sz w:val="24"/>
          <w:szCs w:val="24"/>
        </w:rPr>
        <w:br w:type="textWrapping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Согласие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 xml:space="preserve">: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1) 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на обработку персональных данных в соответствии с ФЗ №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152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ФЗ «О персональных данных»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2)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 xml:space="preserve">«Настоящим выражаю согласие на публикацию 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размещение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в информационно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телекоммуникационной сети «Интернет» на официальных ресурсах Фонда грантов губернатора Пермского края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 xml:space="preserve">а также Администрации губернатора Пермского края  публичного годового отчёта 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[</w:t>
      </w:r>
      <w:r>
        <w:rPr>
          <w:rStyle w:val="Нет"/>
          <w:rFonts w:ascii="Times New Roman" w:hAnsi="Times New Roman" w:hint="default"/>
          <w:i w:val="1"/>
          <w:iCs w:val="1"/>
          <w:kern w:val="2"/>
          <w:rtl w:val="0"/>
          <w:lang w:val="ru-RU"/>
        </w:rPr>
        <w:t>наименование НКО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]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 xml:space="preserve">за 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2025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год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 xml:space="preserve">а также на использование фондом информации о результатах оценки отчёта и статусе победителя конкурса 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при наличии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). </w:t>
      </w:r>
    </w:p>
    <w:p>
      <w:pPr>
        <w:pStyle w:val="heading 2"/>
        <w:keepNext w:val="0"/>
        <w:keepLines w:val="0"/>
        <w:numPr>
          <w:ilvl w:val="0"/>
          <w:numId w:val="2"/>
        </w:numPr>
        <w:bidi w:val="0"/>
        <w:spacing w:before="0" w:after="0" w:line="276" w:lineRule="auto"/>
        <w:ind w:right="0"/>
        <w:jc w:val="left"/>
        <w:outlineLvl w:val="9"/>
        <w:rPr>
          <w:rFonts w:ascii="Times New Roman" w:hAnsi="Times New Roman" w:hint="default"/>
          <w:b w:val="0"/>
          <w:bCs w:val="0"/>
          <w:kern w:val="2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sz w:val="24"/>
          <w:szCs w:val="24"/>
          <w:rtl w:val="0"/>
          <w:lang w:val="ru-RU"/>
        </w:rPr>
        <w:t>ДА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b w:val="1"/>
          <w:bCs w:val="1"/>
          <w:kern w:val="2"/>
        </w:rPr>
      </w:pPr>
      <w:r>
        <w:rPr>
          <w:rStyle w:val="Нет"/>
          <w:rFonts w:ascii="Times New Roman" w:hAnsi="Times New Roman" w:hint="default"/>
          <w:b w:val="1"/>
          <w:bCs w:val="1"/>
          <w:kern w:val="2"/>
          <w:rtl w:val="0"/>
          <w:lang w:val="ru-RU"/>
        </w:rPr>
        <w:t>Приложения к заявке</w:t>
      </w:r>
      <w:r>
        <w:rPr>
          <w:rStyle w:val="Нет"/>
          <w:rFonts w:ascii="Times New Roman" w:hAnsi="Times New Roman"/>
          <w:b w:val="1"/>
          <w:bCs w:val="1"/>
          <w:kern w:val="2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 xml:space="preserve">• Ссылка на публичный годовой отчёт 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сайт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/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соцсети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)_____________________________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Нет"/>
          <w:rFonts w:ascii="Times New Roman" w:cs="Times New Roman" w:hAnsi="Times New Roman" w:eastAsia="Times New Roman"/>
          <w:kern w:val="2"/>
        </w:rPr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 xml:space="preserve">• Публичный годовой отчёт организации 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в электронном виде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)</w:t>
      </w:r>
      <w:r>
        <w:rPr>
          <w:rStyle w:val="Нет"/>
          <w:rFonts w:ascii="Times New Roman" w:cs="Times New Roman" w:hAnsi="Times New Roman" w:eastAsia="Times New Roman"/>
          <w:kern w:val="2"/>
        </w:rPr>
        <w:br w:type="textWrapping"/>
      </w:r>
      <w:r>
        <w:rPr>
          <w:rStyle w:val="Нет"/>
          <w:rFonts w:ascii="Times New Roman" w:cs="Times New Roman" w:hAnsi="Times New Roman" w:eastAsia="Times New Roman"/>
          <w:kern w:val="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4368164</wp:posOffset>
                </wp:positionH>
                <wp:positionV relativeFrom="line">
                  <wp:posOffset>241848</wp:posOffset>
                </wp:positionV>
                <wp:extent cx="580827" cy="218431"/>
                <wp:effectExtent l="0" t="0" r="0" b="0"/>
                <wp:wrapNone/>
                <wp:docPr id="1073741825" name="officeArt object" descr="Подпись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7" cy="2184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bidi w:val="0"/>
                            </w:pPr>
                            <w:r>
                              <w:rPr>
                                <w:rStyle w:val="Нет"/>
                                <w:rFonts w:ascii="Times New Roman" w:hAnsi="Times New Roman" w:hint="default"/>
                                <w:sz w:val="20"/>
                                <w:szCs w:val="20"/>
                                <w:rtl w:val="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44.0pt;margin-top:19.0pt;width:45.7pt;height:17.2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bidi w:val="0"/>
                      </w:pPr>
                      <w:r>
                        <w:rPr>
                          <w:rStyle w:val="Нет"/>
                          <w:rFonts w:ascii="Times New Roman" w:hAnsi="Times New Roman" w:hint="default"/>
                          <w:sz w:val="20"/>
                          <w:szCs w:val="20"/>
                          <w:rtl w:val="0"/>
                        </w:rPr>
                        <w:t>Подпись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</w:pP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 xml:space="preserve">Руководитель НКО                                                                    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 xml:space="preserve">____________________ 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М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kern w:val="2"/>
          <w:rtl w:val="0"/>
          <w:lang w:val="ru-RU"/>
        </w:rPr>
        <w:t>П</w:t>
      </w:r>
      <w:r>
        <w:rPr>
          <w:rStyle w:val="Нет"/>
          <w:rFonts w:ascii="Times New Roman" w:hAnsi="Times New Roman"/>
          <w:kern w:val="2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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1155cc"/>
      <w:sz w:val="28"/>
      <w:szCs w:val="28"/>
      <w:u w:val="single" w:color="1155cc"/>
      <w14:textFill>
        <w14:solidFill>
          <w14:srgbClr w14:val="1155CC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40" w:lineRule="auto"/>
      <w:ind w:left="0" w:right="0" w:firstLine="0"/>
      <w:jc w:val="left"/>
      <w:outlineLvl w:val="1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